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97129">
      <w:pPr>
        <w:widowControl/>
        <w:spacing w:after="0" w:line="240" w:lineRule="auto"/>
        <w:jc w:val="center"/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14:ligatures w14:val="none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14:ligatures w14:val="none"/>
        </w:rPr>
        <w:t>朔州市拟提名2025年度山西省科学技术奖名单</w:t>
      </w:r>
    </w:p>
    <w:p w14:paraId="24D19E99">
      <w:pPr>
        <w:widowControl/>
        <w:spacing w:after="0" w:line="240" w:lineRule="auto"/>
        <w:jc w:val="both"/>
        <w:rPr>
          <w:rFonts w:ascii="仿宋_GB2312" w:hAnsi="Times New Roman" w:eastAsia="仿宋_GB2312" w:cs="Times New Roman"/>
          <w:b/>
          <w:color w:val="000000"/>
          <w:sz w:val="30"/>
          <w:szCs w:val="20"/>
          <w14:ligatures w14:val="none"/>
        </w:rPr>
      </w:pPr>
    </w:p>
    <w:tbl>
      <w:tblPr>
        <w:tblStyle w:val="2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3167"/>
        <w:gridCol w:w="4536"/>
        <w:gridCol w:w="3543"/>
        <w:gridCol w:w="1985"/>
      </w:tblGrid>
      <w:tr w14:paraId="53D4D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E1346">
            <w:pPr>
              <w:widowControl/>
              <w:spacing w:after="0" w:line="400" w:lineRule="exact"/>
              <w:jc w:val="center"/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  <w:t>序号</w:t>
            </w:r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6270A">
            <w:pPr>
              <w:widowControl/>
              <w:spacing w:after="0" w:line="400" w:lineRule="exact"/>
              <w:jc w:val="center"/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  <w:t>项目名称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496D4">
            <w:pPr>
              <w:widowControl/>
              <w:spacing w:after="0" w:line="400" w:lineRule="exact"/>
              <w:jc w:val="center"/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  <w:t>主要完成单位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B27F1">
            <w:pPr>
              <w:widowControl/>
              <w:spacing w:after="0" w:line="400" w:lineRule="exact"/>
              <w:jc w:val="center"/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  <w:t>主要完成人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83C17">
            <w:pPr>
              <w:widowControl/>
              <w:spacing w:after="0" w:line="400" w:lineRule="exact"/>
              <w:jc w:val="center"/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  <w:t>提名奖励</w:t>
            </w:r>
          </w:p>
          <w:p w14:paraId="06C61BA5">
            <w:pPr>
              <w:widowControl/>
              <w:spacing w:after="0" w:line="400" w:lineRule="exact"/>
              <w:jc w:val="center"/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b/>
                <w:color w:val="000000"/>
                <w:w w:val="90"/>
                <w:sz w:val="28"/>
                <w:szCs w:val="20"/>
                <w14:ligatures w14:val="none"/>
              </w:rPr>
              <w:t>类别</w:t>
            </w:r>
          </w:p>
        </w:tc>
      </w:tr>
      <w:tr w14:paraId="573E4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98157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1</w:t>
            </w:r>
            <w:bookmarkStart w:id="0" w:name="xmhz_table"/>
            <w:bookmarkEnd w:id="0"/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3B979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面向全钒液流电池的电解液-质子膜-电极三相长时储能技术与应用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F531D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山西国润储能科技有限公司,太原理工大学,国家电投集团山西电力有限公司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458A1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孟青,贾里,于冬青,赵凌伟,段思璇,张家乐,苑会林,贾存变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8CAD7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进步类成果转化</w:t>
            </w:r>
          </w:p>
        </w:tc>
      </w:tr>
      <w:tr w14:paraId="15249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3610E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EFFD2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冲击地压“智能感知-应力成像-动态调控”一体化防控关键技术装备与应用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8FBCC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山西中煤东坡煤业有限公司,中国矿业大学,中煤资源发展集团有限公司</w:t>
            </w:r>
          </w:p>
        </w:tc>
        <w:tc>
          <w:tcPr>
            <w:tcW w:w="3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09927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王桂峰,毛怀勇,赵勇,戴剑博,高阳,曹金钟,王利新,王强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0310E">
            <w:pPr>
              <w:widowControl/>
              <w:spacing w:after="0" w:line="240" w:lineRule="exact"/>
              <w:jc w:val="both"/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</w:pP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1"/>
                <w14:ligatures w14:val="none"/>
              </w:rPr>
              <w:t>进步类成果转化</w:t>
            </w:r>
          </w:p>
        </w:tc>
      </w:tr>
    </w:tbl>
    <w:p w14:paraId="32C310D2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B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2026-07-16T05:46:53Z</dcterms:created>
  <dc:creator>Administrator</dc:creator>
  <cp:lastModifiedBy>依依</cp:lastModifiedBy>
  <dcterms:modified xsi:type="dcterms:W3CDTF">2026-07-16T05:47:16Z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eyJoZGlkIjoiY2Q2ODczNzliYmU5NWY2YmNlNWRmYTNjZGE5ZTVlNGQiLCJ1c2VySWQiOiI3NTIwMDMwMDEifQ==</vt:lpwstr>
  </property>
  <property fmtid="{D5CDD505-2E9C-101B-9397-08002B2CF9AE}" pid="4" name="ICV">
    <vt:lpwstr>0E2B8AF6F178417D96A1E2B14BDB8D82_12</vt:lpwstr>
  </property>
</Properties>
</file>